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="00F06D80">
        <w:rPr>
          <w:rFonts w:ascii="Tahoma" w:hAnsi="Tahoma" w:cs="Tahoma"/>
          <w:b/>
          <w:bCs/>
          <w:noProof/>
          <w:sz w:val="24"/>
          <w:szCs w:val="24"/>
          <w:cs/>
        </w:rPr>
        <w:t>ารรับแจ้งการตายกรณีไม่ทราบว่าผ</w:t>
      </w:r>
      <w:r w:rsidR="00F06D80">
        <w:rPr>
          <w:rFonts w:ascii="Tahoma" w:hAnsi="Tahoma" w:cs="Tahoma" w:hint="cs"/>
          <w:b/>
          <w:bCs/>
          <w:noProof/>
          <w:sz w:val="24"/>
          <w:szCs w:val="24"/>
          <w:cs/>
        </w:rPr>
        <w:t>ู้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ตายเป็นใคร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06D80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06D8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06D8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F06D8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B5764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06D80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20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06D8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Default="00081011" w:rsidP="00F06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F06D80" w:rsidRPr="00081011" w:rsidRDefault="00F06D80" w:rsidP="00F06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Default="00081011" w:rsidP="00F06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F06D80" w:rsidRPr="00081011" w:rsidRDefault="00F06D80" w:rsidP="00F06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764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5764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F06D80" w:rsidRDefault="00F06D8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F06D80" w:rsidRDefault="00F06D8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F06D80" w:rsidRPr="00CD595C" w:rsidRDefault="00F06D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6D80" w:rsidRDefault="00F06D8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5764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</w:t>
      </w:r>
      <w:r w:rsidR="00474DDB">
        <w:rPr>
          <w:rFonts w:ascii="Tahoma" w:hAnsi="Tahoma" w:cs="Tahoma"/>
          <w:noProof/>
          <w:sz w:val="20"/>
          <w:szCs w:val="20"/>
          <w:cs/>
        </w:rPr>
        <w:t>ารรับแจ้งการตายกรณีไม่ทราบว่าผ</w:t>
      </w:r>
      <w:r w:rsidR="00474DDB">
        <w:rPr>
          <w:rFonts w:ascii="Tahoma" w:hAnsi="Tahoma" w:cs="Tahoma" w:hint="cs"/>
          <w:noProof/>
          <w:sz w:val="20"/>
          <w:szCs w:val="20"/>
          <w:cs/>
        </w:rPr>
        <w:t>ู้</w:t>
      </w:r>
      <w:r w:rsidR="007B7ED7">
        <w:rPr>
          <w:rFonts w:ascii="Tahoma" w:hAnsi="Tahoma" w:cs="Tahoma"/>
          <w:noProof/>
          <w:sz w:val="20"/>
          <w:szCs w:val="20"/>
          <w:cs/>
        </w:rPr>
        <w:t>ตายเป็นใคร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การรับแจ้งการตายกรณีไม่ทราบว่าผู้ตายเป็นใครเทศบาลเมืองพนัสนิคมอำเภอพนัสนิคมจังหวัดชลบุรี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06D8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45EE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74DD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57646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6D80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4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D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06D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B1178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2015-10-08T03:53:00Z</dcterms:created>
  <dcterms:modified xsi:type="dcterms:W3CDTF">2015-10-08T03:54:00Z</dcterms:modified>
</cp:coreProperties>
</file>